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3EF" w:rsidRDefault="002753EF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2753EF" w:rsidRDefault="002753EF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Tutor</w:t>
      </w:r>
    </w:p>
    <w:p w:rsidR="002753EF" w:rsidRDefault="002753EF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Institution </w:t>
      </w:r>
    </w:p>
    <w:p w:rsidR="002753EF" w:rsidRDefault="002753EF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</w:t>
      </w:r>
      <w:bookmarkStart w:id="0" w:name="_GoBack"/>
      <w:bookmarkEnd w:id="0"/>
    </w:p>
    <w:p w:rsidR="002753EF" w:rsidRDefault="002753EF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E5ED2" w:rsidRPr="00E12517" w:rsidRDefault="000E2FD5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2517">
        <w:rPr>
          <w:rFonts w:ascii="Times New Roman" w:hAnsi="Times New Roman" w:cs="Times New Roman"/>
          <w:sz w:val="24"/>
        </w:rPr>
        <w:t>ENCINO MOTORCARS, LLC VS. NAVARRO</w:t>
      </w:r>
    </w:p>
    <w:p w:rsidR="000E2FD5" w:rsidRPr="00E12517" w:rsidRDefault="00F23ADA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2517">
        <w:rPr>
          <w:rFonts w:ascii="Times New Roman" w:hAnsi="Times New Roman" w:cs="Times New Roman"/>
          <w:sz w:val="24"/>
        </w:rPr>
        <w:t>Citation, 579 U.S. 2016 (No. 15-215-6/20/2016)</w:t>
      </w:r>
    </w:p>
    <w:p w:rsidR="006A549B" w:rsidRPr="00542DA7" w:rsidRDefault="006A549B" w:rsidP="00E12517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42DA7">
        <w:rPr>
          <w:rFonts w:ascii="Times New Roman" w:hAnsi="Times New Roman" w:cs="Times New Roman"/>
          <w:b/>
          <w:sz w:val="24"/>
        </w:rPr>
        <w:t xml:space="preserve">Summary </w:t>
      </w:r>
    </w:p>
    <w:p w:rsidR="006A549B" w:rsidRPr="00E12517" w:rsidRDefault="000B4B41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2517">
        <w:rPr>
          <w:rFonts w:ascii="Times New Roman" w:hAnsi="Times New Roman" w:cs="Times New Roman"/>
          <w:sz w:val="24"/>
        </w:rPr>
        <w:t>The case involves workers from</w:t>
      </w:r>
      <w:r w:rsidR="0045218C" w:rsidRPr="00E12517">
        <w:rPr>
          <w:rFonts w:ascii="Times New Roman" w:hAnsi="Times New Roman" w:cs="Times New Roman"/>
          <w:sz w:val="24"/>
        </w:rPr>
        <w:t xml:space="preserve"> Encino who claim that they have been working for overtime and they have not been paid for the overtime.</w:t>
      </w:r>
      <w:r w:rsidR="004A2527" w:rsidRPr="00E12517">
        <w:rPr>
          <w:rFonts w:ascii="Times New Roman" w:hAnsi="Times New Roman" w:cs="Times New Roman"/>
          <w:sz w:val="24"/>
        </w:rPr>
        <w:t xml:space="preserve"> </w:t>
      </w:r>
      <w:r w:rsidR="00ED2910" w:rsidRPr="00E12517">
        <w:rPr>
          <w:rFonts w:ascii="Times New Roman" w:hAnsi="Times New Roman" w:cs="Times New Roman"/>
          <w:sz w:val="24"/>
        </w:rPr>
        <w:t xml:space="preserve"> The Fair Labor Standards Act requires that workers who qualify for non-exempt category to be paid for any extra time they spend working for the company.</w:t>
      </w:r>
      <w:r w:rsidR="00BD14B6" w:rsidRPr="00E12517">
        <w:rPr>
          <w:rFonts w:ascii="Times New Roman" w:hAnsi="Times New Roman" w:cs="Times New Roman"/>
          <w:sz w:val="24"/>
        </w:rPr>
        <w:t xml:space="preserve">  The workers sued Encino claiming that they qualified to be categorized as non-exempt and thus they were entitled for overtime pay.</w:t>
      </w:r>
      <w:r w:rsidR="007F25BB" w:rsidRPr="00E12517">
        <w:rPr>
          <w:rFonts w:ascii="Times New Roman" w:hAnsi="Times New Roman" w:cs="Times New Roman"/>
          <w:sz w:val="24"/>
        </w:rPr>
        <w:t xml:space="preserve"> They based their claim </w:t>
      </w:r>
      <w:r w:rsidR="002C6ADC" w:rsidRPr="00E12517">
        <w:rPr>
          <w:rFonts w:ascii="Times New Roman" w:hAnsi="Times New Roman" w:cs="Times New Roman"/>
          <w:sz w:val="24"/>
        </w:rPr>
        <w:t>on the FLSA as well as the US Department of Labor (DOL)</w:t>
      </w:r>
      <w:r w:rsidR="00546244" w:rsidRPr="00E12517">
        <w:rPr>
          <w:rFonts w:ascii="Times New Roman" w:hAnsi="Times New Roman" w:cs="Times New Roman"/>
          <w:sz w:val="24"/>
        </w:rPr>
        <w:t xml:space="preserve"> rule change in 2011.</w:t>
      </w:r>
    </w:p>
    <w:p w:rsidR="006E3095" w:rsidRPr="00E12517" w:rsidRDefault="00C1444E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2517">
        <w:rPr>
          <w:rFonts w:ascii="Times New Roman" w:hAnsi="Times New Roman" w:cs="Times New Roman"/>
          <w:sz w:val="24"/>
        </w:rPr>
        <w:t>The employees filed the case in the Central District of California federal court against their employer.</w:t>
      </w:r>
      <w:r w:rsidR="00041C6C" w:rsidRPr="00E12517">
        <w:rPr>
          <w:rFonts w:ascii="Times New Roman" w:hAnsi="Times New Roman" w:cs="Times New Roman"/>
          <w:sz w:val="24"/>
        </w:rPr>
        <w:t xml:space="preserve"> The court dismissed the case basing on the fact that the statutory exemption was only</w:t>
      </w:r>
      <w:r w:rsidR="005A0955" w:rsidRPr="00E12517">
        <w:rPr>
          <w:rFonts w:ascii="Times New Roman" w:hAnsi="Times New Roman" w:cs="Times New Roman"/>
          <w:sz w:val="24"/>
        </w:rPr>
        <w:t xml:space="preserve"> applicable to service advisers.</w:t>
      </w:r>
      <w:r w:rsidR="00F40E0D" w:rsidRPr="00E12517">
        <w:rPr>
          <w:rFonts w:ascii="Times New Roman" w:hAnsi="Times New Roman" w:cs="Times New Roman"/>
          <w:sz w:val="24"/>
        </w:rPr>
        <w:t xml:space="preserve"> </w:t>
      </w:r>
      <w:r w:rsidR="004A0EE0" w:rsidRPr="00E12517">
        <w:rPr>
          <w:rFonts w:ascii="Times New Roman" w:hAnsi="Times New Roman" w:cs="Times New Roman"/>
          <w:sz w:val="24"/>
        </w:rPr>
        <w:t xml:space="preserve">However, the employees went ahead and </w:t>
      </w:r>
      <w:r w:rsidR="00A10EFC" w:rsidRPr="00E12517">
        <w:rPr>
          <w:rFonts w:ascii="Times New Roman" w:hAnsi="Times New Roman" w:cs="Times New Roman"/>
          <w:sz w:val="24"/>
        </w:rPr>
        <w:t>filed an</w:t>
      </w:r>
      <w:r w:rsidR="004A0EE0" w:rsidRPr="00E12517">
        <w:rPr>
          <w:rFonts w:ascii="Times New Roman" w:hAnsi="Times New Roman" w:cs="Times New Roman"/>
          <w:sz w:val="24"/>
        </w:rPr>
        <w:t xml:space="preserve"> appeal to the Ninth Circuit</w:t>
      </w:r>
      <w:r w:rsidR="00A10EFC" w:rsidRPr="00E12517">
        <w:rPr>
          <w:rFonts w:ascii="Times New Roman" w:hAnsi="Times New Roman" w:cs="Times New Roman"/>
          <w:sz w:val="24"/>
        </w:rPr>
        <w:t xml:space="preserve"> after which it held that the employees were eligible for </w:t>
      </w:r>
      <w:r w:rsidR="00BA0E97" w:rsidRPr="00E12517">
        <w:rPr>
          <w:rFonts w:ascii="Times New Roman" w:hAnsi="Times New Roman" w:cs="Times New Roman"/>
          <w:sz w:val="24"/>
        </w:rPr>
        <w:t>the overtime. Also, Encino went ahead and filed an appeal to the Supreme Court.</w:t>
      </w:r>
    </w:p>
    <w:p w:rsidR="00950CEF" w:rsidRPr="00E12517" w:rsidRDefault="009423A3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96623">
        <w:rPr>
          <w:rFonts w:ascii="Times New Roman" w:hAnsi="Times New Roman" w:cs="Times New Roman"/>
          <w:b/>
          <w:sz w:val="24"/>
        </w:rPr>
        <w:lastRenderedPageBreak/>
        <w:t xml:space="preserve">The </w:t>
      </w:r>
      <w:r w:rsidR="00F96623">
        <w:rPr>
          <w:rFonts w:ascii="Times New Roman" w:hAnsi="Times New Roman" w:cs="Times New Roman"/>
          <w:b/>
          <w:sz w:val="24"/>
        </w:rPr>
        <w:t>Primary Issue:</w:t>
      </w:r>
      <w:r w:rsidRPr="00E12517">
        <w:rPr>
          <w:rFonts w:ascii="Times New Roman" w:hAnsi="Times New Roman" w:cs="Times New Roman"/>
          <w:sz w:val="24"/>
        </w:rPr>
        <w:t xml:space="preserve"> </w:t>
      </w:r>
      <w:r w:rsidR="00F96623">
        <w:rPr>
          <w:rFonts w:ascii="Times New Roman" w:hAnsi="Times New Roman" w:cs="Times New Roman"/>
          <w:sz w:val="24"/>
        </w:rPr>
        <w:t>S</w:t>
      </w:r>
      <w:r w:rsidR="003C4890" w:rsidRPr="00E12517">
        <w:rPr>
          <w:rFonts w:ascii="Times New Roman" w:hAnsi="Times New Roman" w:cs="Times New Roman"/>
          <w:sz w:val="24"/>
        </w:rPr>
        <w:t xml:space="preserve">hould the </w:t>
      </w:r>
      <w:r w:rsidR="005C36F4" w:rsidRPr="00E12517">
        <w:rPr>
          <w:rFonts w:ascii="Times New Roman" w:hAnsi="Times New Roman" w:cs="Times New Roman"/>
          <w:sz w:val="24"/>
        </w:rPr>
        <w:t xml:space="preserve">interpretation made by the US DOL concerning labor matters be entitled to great </w:t>
      </w:r>
      <w:r w:rsidR="00395D14" w:rsidRPr="00E12517">
        <w:rPr>
          <w:rFonts w:ascii="Times New Roman" w:hAnsi="Times New Roman" w:cs="Times New Roman"/>
          <w:sz w:val="24"/>
        </w:rPr>
        <w:t>difference after it offers a little explanation concerning the alterations made, and based on that should the service advisors be taken to be eligible for overtime pay?</w:t>
      </w:r>
    </w:p>
    <w:p w:rsidR="00395D14" w:rsidRPr="00E12517" w:rsidRDefault="000934F9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96623">
        <w:rPr>
          <w:rFonts w:ascii="Times New Roman" w:hAnsi="Times New Roman" w:cs="Times New Roman"/>
          <w:b/>
          <w:sz w:val="24"/>
        </w:rPr>
        <w:t>Summary of the Rule:</w:t>
      </w:r>
      <w:r w:rsidRPr="00E12517">
        <w:rPr>
          <w:rFonts w:ascii="Times New Roman" w:hAnsi="Times New Roman" w:cs="Times New Roman"/>
          <w:sz w:val="24"/>
        </w:rPr>
        <w:t xml:space="preserve"> </w:t>
      </w:r>
      <w:r w:rsidR="0080524F" w:rsidRPr="00E12517">
        <w:rPr>
          <w:rFonts w:ascii="Times New Roman" w:hAnsi="Times New Roman" w:cs="Times New Roman"/>
          <w:sz w:val="24"/>
        </w:rPr>
        <w:t xml:space="preserve">it is known that </w:t>
      </w:r>
      <w:r w:rsidR="006D4C4E" w:rsidRPr="00E12517">
        <w:rPr>
          <w:rFonts w:ascii="Times New Roman" w:hAnsi="Times New Roman" w:cs="Times New Roman"/>
          <w:sz w:val="24"/>
        </w:rPr>
        <w:t xml:space="preserve">rules that are reached by </w:t>
      </w:r>
      <w:r w:rsidR="005F3054" w:rsidRPr="00E12517">
        <w:rPr>
          <w:rFonts w:ascii="Times New Roman" w:hAnsi="Times New Roman" w:cs="Times New Roman"/>
          <w:sz w:val="24"/>
        </w:rPr>
        <w:t xml:space="preserve">administrative bodies within the areas </w:t>
      </w:r>
      <w:r w:rsidR="002D3495" w:rsidRPr="00E12517">
        <w:rPr>
          <w:rFonts w:ascii="Times New Roman" w:hAnsi="Times New Roman" w:cs="Times New Roman"/>
          <w:sz w:val="24"/>
        </w:rPr>
        <w:t>that</w:t>
      </w:r>
      <w:r w:rsidR="005F3054" w:rsidRPr="00E12517">
        <w:rPr>
          <w:rFonts w:ascii="Times New Roman" w:hAnsi="Times New Roman" w:cs="Times New Roman"/>
          <w:sz w:val="24"/>
        </w:rPr>
        <w:t xml:space="preserve"> they oversee, then they are entitled to be granted great deference and consideration.</w:t>
      </w:r>
      <w:r w:rsidR="00E37CC8" w:rsidRPr="00E12517">
        <w:rPr>
          <w:rFonts w:ascii="Times New Roman" w:hAnsi="Times New Roman" w:cs="Times New Roman"/>
          <w:sz w:val="24"/>
        </w:rPr>
        <w:t xml:space="preserve"> It is referred to as the Chevron doctrine.  In the above case, it was found out that the US DOL </w:t>
      </w:r>
      <w:r w:rsidR="00CE305E" w:rsidRPr="00E12517">
        <w:rPr>
          <w:rFonts w:ascii="Times New Roman" w:hAnsi="Times New Roman" w:cs="Times New Roman"/>
          <w:sz w:val="24"/>
        </w:rPr>
        <w:t>had not provided a comprehensive reasoning as to why it reached such a settlement.</w:t>
      </w:r>
      <w:r w:rsidR="000327E1" w:rsidRPr="00E12517">
        <w:rPr>
          <w:rFonts w:ascii="Times New Roman" w:hAnsi="Times New Roman" w:cs="Times New Roman"/>
          <w:sz w:val="24"/>
        </w:rPr>
        <w:t xml:space="preserve"> </w:t>
      </w:r>
    </w:p>
    <w:p w:rsidR="000327E1" w:rsidRPr="00E12517" w:rsidRDefault="00D924BC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109C1">
        <w:rPr>
          <w:rFonts w:ascii="Times New Roman" w:hAnsi="Times New Roman" w:cs="Times New Roman"/>
          <w:b/>
          <w:sz w:val="24"/>
        </w:rPr>
        <w:t>Decision:</w:t>
      </w:r>
      <w:r w:rsidRPr="00E12517">
        <w:rPr>
          <w:rFonts w:ascii="Times New Roman" w:hAnsi="Times New Roman" w:cs="Times New Roman"/>
          <w:sz w:val="24"/>
        </w:rPr>
        <w:t xml:space="preserve"> </w:t>
      </w:r>
      <w:r w:rsidR="00F112ED" w:rsidRPr="00E12517">
        <w:rPr>
          <w:rFonts w:ascii="Times New Roman" w:hAnsi="Times New Roman" w:cs="Times New Roman"/>
          <w:sz w:val="24"/>
        </w:rPr>
        <w:t>6-2 opinion by Justice Kennedy, with a dissent by Justices Thomas and Alito.</w:t>
      </w:r>
    </w:p>
    <w:p w:rsidR="0086118E" w:rsidRPr="00E12517" w:rsidRDefault="0086118E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109C1">
        <w:rPr>
          <w:rFonts w:ascii="Times New Roman" w:hAnsi="Times New Roman" w:cs="Times New Roman"/>
          <w:b/>
          <w:sz w:val="24"/>
        </w:rPr>
        <w:t>Summary of Decision:</w:t>
      </w:r>
      <w:r w:rsidRPr="00E12517">
        <w:rPr>
          <w:rFonts w:ascii="Times New Roman" w:hAnsi="Times New Roman" w:cs="Times New Roman"/>
          <w:sz w:val="24"/>
        </w:rPr>
        <w:t xml:space="preserve"> </w:t>
      </w:r>
      <w:r w:rsidR="0057049A" w:rsidRPr="00E12517">
        <w:rPr>
          <w:rFonts w:ascii="Times New Roman" w:hAnsi="Times New Roman" w:cs="Times New Roman"/>
          <w:sz w:val="24"/>
        </w:rPr>
        <w:t xml:space="preserve"> The Supreme Court reached for the decision that, when an administrative </w:t>
      </w:r>
      <w:r w:rsidR="00116FAD" w:rsidRPr="00E12517">
        <w:rPr>
          <w:rFonts w:ascii="Times New Roman" w:hAnsi="Times New Roman" w:cs="Times New Roman"/>
          <w:sz w:val="24"/>
        </w:rPr>
        <w:t xml:space="preserve">body such as the US DOL makes any changes to a long-held rule, then it must provide a convincing </w:t>
      </w:r>
      <w:r w:rsidR="00DA709E" w:rsidRPr="00E12517">
        <w:rPr>
          <w:rFonts w:ascii="Times New Roman" w:hAnsi="Times New Roman" w:cs="Times New Roman"/>
          <w:sz w:val="24"/>
        </w:rPr>
        <w:t>explanation</w:t>
      </w:r>
      <w:r w:rsidR="00787F48" w:rsidRPr="00E12517">
        <w:rPr>
          <w:rFonts w:ascii="Times New Roman" w:hAnsi="Times New Roman" w:cs="Times New Roman"/>
          <w:sz w:val="24"/>
        </w:rPr>
        <w:t xml:space="preserve"> concerning the decision it arrived at</w:t>
      </w:r>
      <w:r w:rsidR="00D93686" w:rsidRPr="00E12517">
        <w:rPr>
          <w:rFonts w:ascii="Times New Roman" w:hAnsi="Times New Roman" w:cs="Times New Roman"/>
          <w:sz w:val="24"/>
        </w:rPr>
        <w:t xml:space="preserve"> in order to be granted the Chevron Deference</w:t>
      </w:r>
      <w:r w:rsidR="00787F48" w:rsidRPr="00E12517">
        <w:rPr>
          <w:rFonts w:ascii="Times New Roman" w:hAnsi="Times New Roman" w:cs="Times New Roman"/>
          <w:sz w:val="24"/>
        </w:rPr>
        <w:t>.</w:t>
      </w:r>
      <w:r w:rsidR="00C623E8" w:rsidRPr="00E12517">
        <w:rPr>
          <w:rFonts w:ascii="Times New Roman" w:hAnsi="Times New Roman" w:cs="Times New Roman"/>
          <w:sz w:val="24"/>
        </w:rPr>
        <w:t xml:space="preserve"> </w:t>
      </w:r>
      <w:r w:rsidR="0095424A" w:rsidRPr="00E12517">
        <w:rPr>
          <w:rFonts w:ascii="Times New Roman" w:hAnsi="Times New Roman" w:cs="Times New Roman"/>
          <w:sz w:val="24"/>
        </w:rPr>
        <w:t xml:space="preserve">The Supreme Court did not grant the DOL the Chevron Deference since it did </w:t>
      </w:r>
      <w:r w:rsidR="0016171F" w:rsidRPr="00E12517">
        <w:rPr>
          <w:rFonts w:ascii="Times New Roman" w:hAnsi="Times New Roman" w:cs="Times New Roman"/>
          <w:sz w:val="24"/>
        </w:rPr>
        <w:t>not provide a reasoned explanation for their decision and thus the case was send back to the Ninth Circuit to decide how it would rule.</w:t>
      </w:r>
      <w:r w:rsidR="002B7AB3" w:rsidRPr="00E12517">
        <w:rPr>
          <w:rFonts w:ascii="Times New Roman" w:hAnsi="Times New Roman" w:cs="Times New Roman"/>
          <w:sz w:val="24"/>
        </w:rPr>
        <w:t xml:space="preserve"> </w:t>
      </w:r>
    </w:p>
    <w:p w:rsidR="002B7AB3" w:rsidRPr="00E12517" w:rsidRDefault="003255E8" w:rsidP="00E1251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2517">
        <w:rPr>
          <w:rFonts w:ascii="Times New Roman" w:hAnsi="Times New Roman" w:cs="Times New Roman"/>
          <w:sz w:val="24"/>
        </w:rPr>
        <w:t>In my opinion, the workers were qualifying as exempt because they were service advisers who were involved in selling automobiles</w:t>
      </w:r>
      <w:r w:rsidR="004278C5" w:rsidRPr="00E12517">
        <w:rPr>
          <w:rFonts w:ascii="Times New Roman" w:hAnsi="Times New Roman" w:cs="Times New Roman"/>
          <w:sz w:val="24"/>
        </w:rPr>
        <w:t>.</w:t>
      </w:r>
      <w:r w:rsidR="00A617EF" w:rsidRPr="00E12517">
        <w:rPr>
          <w:rFonts w:ascii="Times New Roman" w:hAnsi="Times New Roman" w:cs="Times New Roman"/>
          <w:sz w:val="24"/>
        </w:rPr>
        <w:t xml:space="preserve"> Thus, they were not eligible for overtime.</w:t>
      </w:r>
    </w:p>
    <w:sectPr w:rsidR="002B7AB3" w:rsidRPr="00E125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114" w:rsidRDefault="00AC0114" w:rsidP="002753EF">
      <w:pPr>
        <w:spacing w:after="0" w:line="240" w:lineRule="auto"/>
      </w:pPr>
      <w:r>
        <w:separator/>
      </w:r>
    </w:p>
  </w:endnote>
  <w:endnote w:type="continuationSeparator" w:id="0">
    <w:p w:rsidR="00AC0114" w:rsidRDefault="00AC0114" w:rsidP="0027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114" w:rsidRDefault="00AC0114" w:rsidP="002753EF">
      <w:pPr>
        <w:spacing w:after="0" w:line="240" w:lineRule="auto"/>
      </w:pPr>
      <w:r>
        <w:separator/>
      </w:r>
    </w:p>
  </w:footnote>
  <w:footnote w:type="continuationSeparator" w:id="0">
    <w:p w:rsidR="00AC0114" w:rsidRDefault="00AC0114" w:rsidP="0027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448480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53EF" w:rsidRPr="002753EF" w:rsidRDefault="002753E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753E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2753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53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53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753E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53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753EF" w:rsidRDefault="002753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10"/>
    <w:rsid w:val="000327E1"/>
    <w:rsid w:val="00041C6C"/>
    <w:rsid w:val="000934F9"/>
    <w:rsid w:val="000B4B41"/>
    <w:rsid w:val="000E2FD5"/>
    <w:rsid w:val="00116FAD"/>
    <w:rsid w:val="0016171F"/>
    <w:rsid w:val="00193057"/>
    <w:rsid w:val="002753EF"/>
    <w:rsid w:val="002B7AB3"/>
    <w:rsid w:val="002C6ADC"/>
    <w:rsid w:val="002D1310"/>
    <w:rsid w:val="002D3495"/>
    <w:rsid w:val="003109C1"/>
    <w:rsid w:val="003255E8"/>
    <w:rsid w:val="00395D14"/>
    <w:rsid w:val="003A7B6E"/>
    <w:rsid w:val="003A7F5B"/>
    <w:rsid w:val="003C4890"/>
    <w:rsid w:val="004278C5"/>
    <w:rsid w:val="0045218C"/>
    <w:rsid w:val="004A0EE0"/>
    <w:rsid w:val="004A2527"/>
    <w:rsid w:val="00542DA7"/>
    <w:rsid w:val="00546244"/>
    <w:rsid w:val="00555DEC"/>
    <w:rsid w:val="0057049A"/>
    <w:rsid w:val="005A0955"/>
    <w:rsid w:val="005B1AA6"/>
    <w:rsid w:val="005C36F4"/>
    <w:rsid w:val="005F3054"/>
    <w:rsid w:val="006A549B"/>
    <w:rsid w:val="006D4C4E"/>
    <w:rsid w:val="006E3095"/>
    <w:rsid w:val="00787F48"/>
    <w:rsid w:val="007F25BB"/>
    <w:rsid w:val="0080524F"/>
    <w:rsid w:val="0086118E"/>
    <w:rsid w:val="009423A3"/>
    <w:rsid w:val="00950CEF"/>
    <w:rsid w:val="0095424A"/>
    <w:rsid w:val="00A10EFC"/>
    <w:rsid w:val="00A617EF"/>
    <w:rsid w:val="00AC0114"/>
    <w:rsid w:val="00BA0E97"/>
    <w:rsid w:val="00BD14B6"/>
    <w:rsid w:val="00C1444E"/>
    <w:rsid w:val="00C623E8"/>
    <w:rsid w:val="00CD4E7D"/>
    <w:rsid w:val="00CE305E"/>
    <w:rsid w:val="00D924BC"/>
    <w:rsid w:val="00D93686"/>
    <w:rsid w:val="00DA709E"/>
    <w:rsid w:val="00DE5ED2"/>
    <w:rsid w:val="00E12517"/>
    <w:rsid w:val="00E37CC8"/>
    <w:rsid w:val="00ED2910"/>
    <w:rsid w:val="00F002AD"/>
    <w:rsid w:val="00F112ED"/>
    <w:rsid w:val="00F23ADA"/>
    <w:rsid w:val="00F40E0D"/>
    <w:rsid w:val="00F9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F4A6"/>
  <w15:chartTrackingRefBased/>
  <w15:docId w15:val="{A9682540-07B1-44F9-A6F0-34D56C24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D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55DEC"/>
  </w:style>
  <w:style w:type="paragraph" w:styleId="Header">
    <w:name w:val="header"/>
    <w:basedOn w:val="Normal"/>
    <w:link w:val="HeaderChar"/>
    <w:uiPriority w:val="99"/>
    <w:unhideWhenUsed/>
    <w:rsid w:val="0027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3EF"/>
  </w:style>
  <w:style w:type="paragraph" w:styleId="Footer">
    <w:name w:val="footer"/>
    <w:basedOn w:val="Normal"/>
    <w:link w:val="FooterChar"/>
    <w:uiPriority w:val="99"/>
    <w:unhideWhenUsed/>
    <w:rsid w:val="0027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All05</b:Tag>
    <b:SourceType>JournalArticle</b:SourceType>
    <b:Guid>{54F180A4-D6F1-4F78-907C-774C595DBA00}</b:Guid>
    <b:Author>
      <b:Author>
        <b:NameList>
          <b:Person>
            <b:Last>Cummings</b:Last>
            <b:First>Allisons</b:First>
          </b:Person>
        </b:NameList>
      </b:Author>
    </b:Author>
    <b:Title>Public Subjects: Race and the Critical Reception of Gwendolyn Brooks, Erica Hunt, and Harryette Mullen </b:Title>
    <b:JournalName>Justor</b:JournalName>
    <b:Year>2005</b:Year>
    <b:Pages>3-36</b:Pages>
    <b:RefOrder>1</b:RefOrder>
  </b:Source>
</b:Sources>
</file>

<file path=customXml/itemProps1.xml><?xml version="1.0" encoding="utf-8"?>
<ds:datastoreItem xmlns:ds="http://schemas.openxmlformats.org/officeDocument/2006/customXml" ds:itemID="{00E0E5B5-1492-4EAB-B48B-58B8BB0B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vini</cp:lastModifiedBy>
  <cp:revision>2</cp:revision>
  <dcterms:created xsi:type="dcterms:W3CDTF">2018-11-05T07:43:00Z</dcterms:created>
  <dcterms:modified xsi:type="dcterms:W3CDTF">2018-11-05T07:43:00Z</dcterms:modified>
</cp:coreProperties>
</file>